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1216" w14:textId="7D516894" w:rsidR="00BA7EAC" w:rsidRPr="00BA7EAC" w:rsidRDefault="00E70682" w:rsidP="00F75B40">
      <w:pPr>
        <w:spacing w:after="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Il cuore della questione territoriale che tiene in scacco il riordino</w:t>
      </w:r>
      <w:r w:rsidR="00AA192C">
        <w:rPr>
          <w:rFonts w:ascii="Cambria" w:hAnsi="Cambria"/>
          <w:b/>
          <w:bCs/>
          <w:sz w:val="24"/>
          <w:szCs w:val="24"/>
        </w:rPr>
        <w:t xml:space="preserve"> può essere superato in giudizio? U</w:t>
      </w:r>
      <w:r w:rsidR="00BA7EAC" w:rsidRPr="00BA7EAC">
        <w:rPr>
          <w:rFonts w:ascii="Cambria" w:hAnsi="Cambria"/>
          <w:b/>
          <w:bCs/>
          <w:sz w:val="24"/>
          <w:szCs w:val="24"/>
        </w:rPr>
        <w:t>n distanziometro per essere illegittimo deve vietare il 100%?</w:t>
      </w:r>
      <w:r w:rsidR="00AA192C">
        <w:rPr>
          <w:rFonts w:ascii="Cambria" w:hAnsi="Cambria"/>
          <w:b/>
          <w:bCs/>
          <w:sz w:val="24"/>
          <w:szCs w:val="24"/>
        </w:rPr>
        <w:t xml:space="preserve">  La percentuale deve essere calcolata sull’intero territorio comunale o solo su quello non altrimenti vietato?</w:t>
      </w:r>
    </w:p>
    <w:p w14:paraId="193D5C99" w14:textId="77777777" w:rsidR="00BA7EAC" w:rsidRDefault="00BA7EAC" w:rsidP="00F75B40">
      <w:pPr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4CF1DA64" w14:textId="017CB50E" w:rsidR="00BA7EAC" w:rsidRPr="00BA7EAC" w:rsidRDefault="00BA7EAC" w:rsidP="00F75B40">
      <w:pPr>
        <w:spacing w:after="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BA7EAC">
        <w:rPr>
          <w:rFonts w:ascii="Cambria" w:hAnsi="Cambria"/>
          <w:b/>
          <w:bCs/>
          <w:sz w:val="24"/>
          <w:szCs w:val="24"/>
        </w:rPr>
        <w:t>Abstract</w:t>
      </w:r>
    </w:p>
    <w:p w14:paraId="41823586" w14:textId="721F4E76" w:rsidR="00F75B40" w:rsidRPr="0032579D" w:rsidRDefault="00F75B40" w:rsidP="00F75B40">
      <w:pPr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 Giudici del Consiglio di Stato chiedono spesso a </w:t>
      </w:r>
      <w:r w:rsidR="00B873AB">
        <w:rPr>
          <w:rFonts w:ascii="Cambria" w:hAnsi="Cambria"/>
          <w:sz w:val="24"/>
          <w:szCs w:val="24"/>
        </w:rPr>
        <w:t>p</w:t>
      </w:r>
      <w:r>
        <w:rPr>
          <w:rFonts w:ascii="Cambria" w:hAnsi="Cambria"/>
          <w:sz w:val="24"/>
          <w:szCs w:val="24"/>
        </w:rPr>
        <w:t xml:space="preserve">eriti la verificazione dell’effetto espulsivo denunciato dagli operatori. </w:t>
      </w:r>
      <w:r w:rsidR="00AA192C">
        <w:rPr>
          <w:rFonts w:ascii="Cambria" w:hAnsi="Cambria"/>
          <w:sz w:val="24"/>
          <w:szCs w:val="24"/>
        </w:rPr>
        <w:t xml:space="preserve">  Troppo spesso si ritiene di censurare il distanziometro solo di fronte a divieti assoluti o quasi assoluti. Ma in realtà i distanziometri dovrebbero fare i conti con l’illegittimità anche quando marginalizzano. </w:t>
      </w:r>
      <w:r w:rsidR="005571B9">
        <w:rPr>
          <w:rFonts w:ascii="Cambria" w:hAnsi="Cambria"/>
          <w:sz w:val="24"/>
          <w:szCs w:val="24"/>
        </w:rPr>
        <w:t xml:space="preserve">  Inoltre, spesso ci si trova di fronte a casi in cui per calcolare la percentuale di aree </w:t>
      </w:r>
      <w:r w:rsidR="00483A46">
        <w:rPr>
          <w:rFonts w:ascii="Cambria" w:hAnsi="Cambria"/>
          <w:sz w:val="24"/>
          <w:szCs w:val="24"/>
        </w:rPr>
        <w:t xml:space="preserve">di </w:t>
      </w:r>
      <w:proofErr w:type="spellStart"/>
      <w:r w:rsidR="00483A46">
        <w:rPr>
          <w:rFonts w:ascii="Cambria" w:hAnsi="Cambria"/>
          <w:sz w:val="24"/>
          <w:szCs w:val="24"/>
        </w:rPr>
        <w:t>insediabilità</w:t>
      </w:r>
      <w:proofErr w:type="spellEnd"/>
      <w:r w:rsidR="00483A46">
        <w:rPr>
          <w:rFonts w:ascii="Cambria" w:hAnsi="Cambria"/>
          <w:sz w:val="24"/>
          <w:szCs w:val="24"/>
        </w:rPr>
        <w:t xml:space="preserve"> </w:t>
      </w:r>
      <w:r w:rsidR="005571B9">
        <w:rPr>
          <w:rFonts w:ascii="Cambria" w:hAnsi="Cambria"/>
          <w:sz w:val="24"/>
          <w:szCs w:val="24"/>
        </w:rPr>
        <w:t xml:space="preserve">i Periti pretendono di parametrarla all’area non vietata da altri impedimenti e non anche alla </w:t>
      </w:r>
      <w:r w:rsidR="00E34B27">
        <w:rPr>
          <w:rFonts w:ascii="Cambria" w:hAnsi="Cambria"/>
          <w:sz w:val="24"/>
          <w:szCs w:val="24"/>
        </w:rPr>
        <w:t xml:space="preserve">più apia </w:t>
      </w:r>
      <w:r w:rsidR="00B873AB">
        <w:rPr>
          <w:rFonts w:ascii="Cambria" w:hAnsi="Cambria"/>
          <w:sz w:val="24"/>
          <w:szCs w:val="24"/>
        </w:rPr>
        <w:t xml:space="preserve">intera </w:t>
      </w:r>
      <w:r w:rsidR="00E34B27">
        <w:rPr>
          <w:rFonts w:ascii="Cambria" w:hAnsi="Cambria"/>
          <w:sz w:val="24"/>
          <w:szCs w:val="24"/>
        </w:rPr>
        <w:t xml:space="preserve">area urbanizzata. </w:t>
      </w:r>
      <w:r w:rsidR="0004037F">
        <w:rPr>
          <w:rFonts w:ascii="Cambria" w:hAnsi="Cambria"/>
          <w:sz w:val="24"/>
          <w:szCs w:val="24"/>
        </w:rPr>
        <w:t xml:space="preserve">In questo modo in realtà non si fornisce un’informazione completa perché il dato che serve è quello </w:t>
      </w:r>
      <w:r w:rsidR="00B873AB">
        <w:rPr>
          <w:rFonts w:ascii="Cambria" w:hAnsi="Cambria"/>
          <w:sz w:val="24"/>
          <w:szCs w:val="24"/>
        </w:rPr>
        <w:t xml:space="preserve">che </w:t>
      </w:r>
      <w:proofErr w:type="spellStart"/>
      <w:r w:rsidR="00B873AB">
        <w:rPr>
          <w:rFonts w:ascii="Cambria" w:hAnsi="Cambria"/>
          <w:sz w:val="24"/>
          <w:szCs w:val="24"/>
        </w:rPr>
        <w:t>consene</w:t>
      </w:r>
      <w:proofErr w:type="spellEnd"/>
      <w:r w:rsidR="00B873AB">
        <w:rPr>
          <w:rFonts w:ascii="Cambria" w:hAnsi="Cambria"/>
          <w:sz w:val="24"/>
          <w:szCs w:val="24"/>
        </w:rPr>
        <w:t xml:space="preserve"> di capire in quale </w:t>
      </w:r>
      <w:r w:rsidR="0004037F">
        <w:rPr>
          <w:rFonts w:ascii="Cambria" w:hAnsi="Cambria"/>
          <w:sz w:val="24"/>
          <w:szCs w:val="24"/>
        </w:rPr>
        <w:t xml:space="preserve">parte dell’intero territorio </w:t>
      </w:r>
      <w:r w:rsidR="00B873AB">
        <w:rPr>
          <w:rFonts w:ascii="Cambria" w:hAnsi="Cambria"/>
          <w:sz w:val="24"/>
          <w:szCs w:val="24"/>
        </w:rPr>
        <w:t>continui ad esserci</w:t>
      </w:r>
      <w:r w:rsidR="0004037F">
        <w:rPr>
          <w:rFonts w:ascii="Cambria" w:hAnsi="Cambria"/>
          <w:sz w:val="24"/>
          <w:szCs w:val="24"/>
        </w:rPr>
        <w:t xml:space="preserve"> un presidio di legalità.</w:t>
      </w:r>
      <w:r>
        <w:rPr>
          <w:rFonts w:ascii="Cambria" w:hAnsi="Cambria"/>
          <w:sz w:val="24"/>
          <w:szCs w:val="24"/>
        </w:rPr>
        <w:t xml:space="preserve">  In qu</w:t>
      </w:r>
      <w:r w:rsidR="00A74E43">
        <w:rPr>
          <w:rFonts w:ascii="Cambria" w:hAnsi="Cambria"/>
          <w:sz w:val="24"/>
          <w:szCs w:val="24"/>
        </w:rPr>
        <w:t>e</w:t>
      </w:r>
      <w:r>
        <w:rPr>
          <w:rFonts w:ascii="Cambria" w:hAnsi="Cambria"/>
          <w:sz w:val="24"/>
          <w:szCs w:val="24"/>
        </w:rPr>
        <w:t xml:space="preserve">sto articolo </w:t>
      </w:r>
      <w:r w:rsidR="00B873AB">
        <w:rPr>
          <w:rFonts w:ascii="Cambria" w:hAnsi="Cambria"/>
          <w:sz w:val="24"/>
          <w:szCs w:val="24"/>
        </w:rPr>
        <w:t>prendiamo lo spunto da una recente pronuncia</w:t>
      </w:r>
      <w:r>
        <w:rPr>
          <w:rFonts w:ascii="Cambria" w:hAnsi="Cambria"/>
          <w:sz w:val="24"/>
          <w:szCs w:val="24"/>
        </w:rPr>
        <w:t>.</w:t>
      </w:r>
    </w:p>
    <w:p w14:paraId="3B4C276D" w14:textId="77777777" w:rsidR="00F75B40" w:rsidRDefault="00F75B40" w:rsidP="00F75B40">
      <w:pPr>
        <w:spacing w:after="0" w:line="360" w:lineRule="auto"/>
        <w:jc w:val="both"/>
        <w:rPr>
          <w:rFonts w:ascii="Cambria" w:hAnsi="Cambria"/>
          <w:sz w:val="24"/>
          <w:szCs w:val="24"/>
        </w:rPr>
      </w:pPr>
    </w:p>
    <w:p w14:paraId="739160F4" w14:textId="6B735FA1" w:rsidR="00F75B40" w:rsidRPr="00741046" w:rsidRDefault="00F75B40" w:rsidP="00F75B40">
      <w:pPr>
        <w:spacing w:after="0" w:line="360" w:lineRule="auto"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Premessa</w:t>
      </w:r>
      <w:r w:rsidR="00B873AB">
        <w:rPr>
          <w:rFonts w:ascii="Cambria" w:hAnsi="Cambria"/>
          <w:b/>
          <w:bCs/>
          <w:sz w:val="24"/>
          <w:szCs w:val="24"/>
        </w:rPr>
        <w:t>.</w:t>
      </w:r>
    </w:p>
    <w:p w14:paraId="2B41611C" w14:textId="516372D1" w:rsidR="00F75B40" w:rsidRPr="0017208C" w:rsidRDefault="00F75B40" w:rsidP="00F75B40">
      <w:pPr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tratta dell’</w:t>
      </w:r>
      <w:r w:rsidRPr="0017208C">
        <w:rPr>
          <w:rFonts w:ascii="Cambria" w:hAnsi="Cambria"/>
          <w:sz w:val="24"/>
          <w:szCs w:val="24"/>
        </w:rPr>
        <w:t xml:space="preserve">ordinanza del Consiglio di Stato </w:t>
      </w:r>
      <w:r>
        <w:rPr>
          <w:rFonts w:ascii="Cambria" w:hAnsi="Cambria"/>
          <w:sz w:val="24"/>
          <w:szCs w:val="24"/>
        </w:rPr>
        <w:t>n. 1054/2025 del 10/2/2025, RR 4081/2023 relativa alla contestazione dell’effetto espulsivo denunciato da un operatore in merito al distanziometro di 500 metri previsto dalla Regione Emilia Romagna (</w:t>
      </w:r>
      <w:r w:rsidRPr="0017208C">
        <w:rPr>
          <w:rFonts w:ascii="Cambria" w:hAnsi="Cambria"/>
          <w:sz w:val="24"/>
          <w:szCs w:val="24"/>
        </w:rPr>
        <w:t>Delibera n. 831/2017</w:t>
      </w:r>
      <w:r>
        <w:rPr>
          <w:rFonts w:ascii="Cambria" w:hAnsi="Cambria"/>
          <w:sz w:val="24"/>
          <w:szCs w:val="24"/>
        </w:rPr>
        <w:t>) e</w:t>
      </w:r>
      <w:r w:rsidR="00B873AB">
        <w:rPr>
          <w:rFonts w:ascii="Cambria" w:hAnsi="Cambria"/>
          <w:sz w:val="24"/>
          <w:szCs w:val="24"/>
        </w:rPr>
        <w:t xml:space="preserve"> d</w:t>
      </w:r>
      <w:r>
        <w:rPr>
          <w:rFonts w:ascii="Cambria" w:hAnsi="Cambria"/>
          <w:sz w:val="24"/>
          <w:szCs w:val="24"/>
        </w:rPr>
        <w:t xml:space="preserve">al </w:t>
      </w:r>
      <w:r w:rsidRPr="0017208C">
        <w:rPr>
          <w:rFonts w:ascii="Cambria" w:hAnsi="Cambria"/>
          <w:sz w:val="24"/>
          <w:szCs w:val="24"/>
        </w:rPr>
        <w:t>Comune di Cesenatico</w:t>
      </w:r>
      <w:r>
        <w:rPr>
          <w:rFonts w:ascii="Cambria" w:hAnsi="Cambria"/>
          <w:sz w:val="24"/>
          <w:szCs w:val="24"/>
        </w:rPr>
        <w:t xml:space="preserve"> (</w:t>
      </w:r>
      <w:r w:rsidRPr="0017208C">
        <w:rPr>
          <w:rFonts w:ascii="Cambria" w:hAnsi="Cambria"/>
          <w:sz w:val="24"/>
          <w:szCs w:val="24"/>
        </w:rPr>
        <w:t>Delibera Consiliare n. 85/2017</w:t>
      </w:r>
      <w:r>
        <w:rPr>
          <w:rFonts w:ascii="Cambria" w:hAnsi="Cambria"/>
          <w:sz w:val="24"/>
          <w:szCs w:val="24"/>
        </w:rPr>
        <w:t>).</w:t>
      </w:r>
    </w:p>
    <w:p w14:paraId="06373B61" w14:textId="77777777" w:rsidR="00F75B40" w:rsidRDefault="00F75B40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0FEDA14D" w14:textId="012EB625" w:rsidR="00F75B40" w:rsidRPr="0071153D" w:rsidRDefault="007D5A87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Perché preoccuparsi solo di un’</w:t>
      </w:r>
      <w:proofErr w:type="spellStart"/>
      <w:r w:rsidR="00F75B40">
        <w:rPr>
          <w:rFonts w:ascii="Cambria" w:hAnsi="Cambria"/>
          <w:b/>
          <w:bCs/>
          <w:sz w:val="24"/>
          <w:szCs w:val="24"/>
        </w:rPr>
        <w:t>insediabilità</w:t>
      </w:r>
      <w:proofErr w:type="spellEnd"/>
      <w:r w:rsidR="00F75B40">
        <w:rPr>
          <w:rFonts w:ascii="Cambria" w:hAnsi="Cambria"/>
          <w:b/>
          <w:bCs/>
          <w:sz w:val="24"/>
          <w:szCs w:val="24"/>
        </w:rPr>
        <w:t xml:space="preserve"> dello 0,77%</w:t>
      </w:r>
      <w:r>
        <w:rPr>
          <w:rFonts w:ascii="Cambria" w:hAnsi="Cambria"/>
          <w:b/>
          <w:bCs/>
          <w:sz w:val="24"/>
          <w:szCs w:val="24"/>
        </w:rPr>
        <w:t>?</w:t>
      </w:r>
    </w:p>
    <w:p w14:paraId="6FF719AE" w14:textId="77777777" w:rsidR="00877099" w:rsidRDefault="00F75B40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Consiglio di Stato ha deciso di disporre una verificazione affidando ad un tecnico l’esecuzione dell’incarico. In particolare nell’ordinanza si legge che: “</w:t>
      </w:r>
      <w:r>
        <w:rPr>
          <w:rFonts w:ascii="Cambria" w:hAnsi="Cambria"/>
          <w:i/>
          <w:iCs/>
          <w:sz w:val="24"/>
          <w:szCs w:val="24"/>
        </w:rPr>
        <w:t>(…)</w:t>
      </w:r>
      <w:r w:rsidRPr="0071153D">
        <w:rPr>
          <w:rFonts w:ascii="Cambria" w:hAnsi="Cambria"/>
          <w:i/>
          <w:iCs/>
          <w:sz w:val="24"/>
          <w:szCs w:val="24"/>
        </w:rPr>
        <w:t xml:space="preserve"> nella prima perizia del consulente di parte in data 25 settembre 2018, (</w:t>
      </w:r>
      <w:r>
        <w:rPr>
          <w:rFonts w:ascii="Cambria" w:hAnsi="Cambria"/>
          <w:i/>
          <w:iCs/>
          <w:sz w:val="24"/>
          <w:szCs w:val="24"/>
        </w:rPr>
        <w:t>…</w:t>
      </w:r>
      <w:r w:rsidRPr="0071153D">
        <w:rPr>
          <w:rFonts w:ascii="Cambria" w:hAnsi="Cambria"/>
          <w:i/>
          <w:iCs/>
          <w:sz w:val="24"/>
          <w:szCs w:val="24"/>
        </w:rPr>
        <w:t>), si indica la percentuale dello 7,70 % della superficie territoriale comunale, come potenzialmente idonea alla delocalizzazione di una sala giochi, con riferimento ai soli ambiti del P.R.G. vigente, tuttavia, a seguito dell’introduzione del Regolamento (</w:t>
      </w:r>
      <w:r>
        <w:rPr>
          <w:rFonts w:ascii="Cambria" w:hAnsi="Cambria"/>
          <w:i/>
          <w:iCs/>
          <w:sz w:val="24"/>
          <w:szCs w:val="24"/>
        </w:rPr>
        <w:t>…</w:t>
      </w:r>
      <w:r w:rsidRPr="0071153D">
        <w:rPr>
          <w:rFonts w:ascii="Cambria" w:hAnsi="Cambria"/>
          <w:i/>
          <w:iCs/>
          <w:sz w:val="24"/>
          <w:szCs w:val="24"/>
        </w:rPr>
        <w:t>) con la delibera del Consiglio Comunale n. 85/17, il perito di parte avrebbe incrociato i dati degli ambiti del P.R.G. di Cesenatico, con la nuova normativa regionale di cui alla legge regionale 5/13 e la delibera di Giunta regionale n. 831/17, limitando la possibilità di insediamento (</w:t>
      </w:r>
      <w:r>
        <w:rPr>
          <w:rFonts w:ascii="Cambria" w:hAnsi="Cambria"/>
          <w:i/>
          <w:iCs/>
          <w:sz w:val="24"/>
          <w:szCs w:val="24"/>
        </w:rPr>
        <w:t>…</w:t>
      </w:r>
      <w:r w:rsidRPr="0071153D">
        <w:rPr>
          <w:rFonts w:ascii="Cambria" w:hAnsi="Cambria"/>
          <w:i/>
          <w:iCs/>
          <w:sz w:val="24"/>
          <w:szCs w:val="24"/>
        </w:rPr>
        <w:t>) alla sola percentuale del 0,77% del territorio comunale di Cesenatico, pervenendo alla conclusione dell’impossibilità quasi assoluta della delocalizzazione delle sale giochi nel Comune.</w:t>
      </w:r>
      <w:r>
        <w:rPr>
          <w:rFonts w:ascii="Cambria" w:hAnsi="Cambria"/>
          <w:sz w:val="24"/>
          <w:szCs w:val="24"/>
        </w:rPr>
        <w:t xml:space="preserve">” </w:t>
      </w:r>
    </w:p>
    <w:p w14:paraId="2A51CF21" w14:textId="09E91B42" w:rsidR="00F75B40" w:rsidRDefault="00877099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aggiunge poi che </w:t>
      </w:r>
      <w:r>
        <w:t>“</w:t>
      </w:r>
      <w:r w:rsidRPr="00837481">
        <w:rPr>
          <w:rFonts w:ascii="Cambria" w:hAnsi="Cambria"/>
          <w:i/>
          <w:iCs/>
          <w:sz w:val="24"/>
          <w:szCs w:val="24"/>
        </w:rPr>
        <w:t xml:space="preserve">poiché è presumibile che una percentuale di aree idonee stimata nello 0,77% possa configurare un’ipotesi di effetto espulsivo e tenuto conto che la suddetta stima è contestata sia dal Comune che dalla Regione, si rende necessario disporre una verificazione, ai sensi dell’art. 66 </w:t>
      </w:r>
      <w:proofErr w:type="spellStart"/>
      <w:r w:rsidRPr="00837481">
        <w:rPr>
          <w:rFonts w:ascii="Cambria" w:hAnsi="Cambria"/>
          <w:i/>
          <w:iCs/>
          <w:sz w:val="24"/>
          <w:szCs w:val="24"/>
        </w:rPr>
        <w:t>c.p.a</w:t>
      </w:r>
      <w:proofErr w:type="spellEnd"/>
      <w:r w:rsidRPr="00837481">
        <w:rPr>
          <w:rFonts w:ascii="Cambria" w:hAnsi="Cambria"/>
          <w:i/>
          <w:iCs/>
          <w:sz w:val="24"/>
          <w:szCs w:val="24"/>
        </w:rPr>
        <w:t>., al fine di stimare la superficie di aree idonee presenti nel Comune di Cesenatico utili alla delocalizzazione delle sale da gioco</w:t>
      </w:r>
      <w:r>
        <w:rPr>
          <w:rFonts w:ascii="Cambria" w:hAnsi="Cambria"/>
          <w:i/>
          <w:iCs/>
          <w:sz w:val="24"/>
          <w:szCs w:val="24"/>
        </w:rPr>
        <w:t>”.</w:t>
      </w:r>
    </w:p>
    <w:p w14:paraId="1F83FBC2" w14:textId="7BC27106" w:rsidR="00F75B40" w:rsidRDefault="00504725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 quanto sopra emerge che i Giudici hanno preso atto che </w:t>
      </w:r>
      <w:r w:rsidR="00F75B40">
        <w:rPr>
          <w:rFonts w:ascii="Cambria" w:hAnsi="Cambria"/>
          <w:sz w:val="24"/>
          <w:szCs w:val="24"/>
        </w:rPr>
        <w:t xml:space="preserve">con i soli divieti regionali si registrerebbe una percentuale residua di </w:t>
      </w:r>
      <w:proofErr w:type="spellStart"/>
      <w:r w:rsidR="00F75B40">
        <w:rPr>
          <w:rFonts w:ascii="Cambria" w:hAnsi="Cambria"/>
          <w:sz w:val="24"/>
          <w:szCs w:val="24"/>
        </w:rPr>
        <w:t>insediabilità</w:t>
      </w:r>
      <w:proofErr w:type="spellEnd"/>
      <w:r w:rsidR="00F75B40">
        <w:rPr>
          <w:rFonts w:ascii="Cambria" w:hAnsi="Cambria"/>
          <w:sz w:val="24"/>
          <w:szCs w:val="24"/>
        </w:rPr>
        <w:t xml:space="preserve"> del 7,7%, mentre</w:t>
      </w:r>
      <w:r w:rsidR="0004037F">
        <w:rPr>
          <w:rFonts w:ascii="Cambria" w:hAnsi="Cambria"/>
          <w:sz w:val="24"/>
          <w:szCs w:val="24"/>
        </w:rPr>
        <w:t>,</w:t>
      </w:r>
      <w:r w:rsidR="00F75B40">
        <w:rPr>
          <w:rFonts w:ascii="Cambria" w:hAnsi="Cambria"/>
          <w:sz w:val="24"/>
          <w:szCs w:val="24"/>
        </w:rPr>
        <w:t xml:space="preserve"> aggiungendo </w:t>
      </w:r>
      <w:r w:rsidR="0004037F">
        <w:rPr>
          <w:rFonts w:ascii="Cambria" w:hAnsi="Cambria"/>
          <w:sz w:val="24"/>
          <w:szCs w:val="24"/>
        </w:rPr>
        <w:t xml:space="preserve">a questi </w:t>
      </w:r>
      <w:r w:rsidR="00F75B40">
        <w:rPr>
          <w:rFonts w:ascii="Cambria" w:hAnsi="Cambria"/>
          <w:sz w:val="24"/>
          <w:szCs w:val="24"/>
        </w:rPr>
        <w:t>gli ulteriori divieti comunali</w:t>
      </w:r>
      <w:r w:rsidR="0004037F">
        <w:rPr>
          <w:rFonts w:ascii="Cambria" w:hAnsi="Cambria"/>
          <w:sz w:val="24"/>
          <w:szCs w:val="24"/>
        </w:rPr>
        <w:t>,</w:t>
      </w:r>
      <w:r w:rsidR="00F75B40">
        <w:rPr>
          <w:rFonts w:ascii="Cambria" w:hAnsi="Cambria"/>
          <w:sz w:val="24"/>
          <w:szCs w:val="24"/>
        </w:rPr>
        <w:t xml:space="preserve"> la percentuale si ridurrebbe allo 0,77 con ciò giungendo ad un’impossibilità quasi assoluta.</w:t>
      </w:r>
      <w:r>
        <w:rPr>
          <w:rFonts w:ascii="Cambria" w:hAnsi="Cambria"/>
          <w:sz w:val="24"/>
          <w:szCs w:val="24"/>
        </w:rPr>
        <w:t xml:space="preserve">  E così facendo dimostrano</w:t>
      </w:r>
      <w:r w:rsidR="002D2051">
        <w:rPr>
          <w:rFonts w:ascii="Cambria" w:hAnsi="Cambria"/>
          <w:sz w:val="24"/>
          <w:szCs w:val="24"/>
        </w:rPr>
        <w:t xml:space="preserve"> di avere </w:t>
      </w:r>
      <w:r>
        <w:rPr>
          <w:rFonts w:ascii="Cambria" w:hAnsi="Cambria"/>
          <w:sz w:val="24"/>
          <w:szCs w:val="24"/>
        </w:rPr>
        <w:t>una particolare attenzione solo per il caso in cui la percentuale si attesti su valori che determinano una “</w:t>
      </w:r>
      <w:r w:rsidRPr="00504725">
        <w:rPr>
          <w:rFonts w:ascii="Cambria" w:hAnsi="Cambria"/>
          <w:i/>
          <w:iCs/>
          <w:sz w:val="24"/>
          <w:szCs w:val="24"/>
        </w:rPr>
        <w:t>impossibilità quasi assoluta</w:t>
      </w:r>
      <w:r>
        <w:rPr>
          <w:rFonts w:ascii="Cambria" w:hAnsi="Cambria"/>
          <w:sz w:val="24"/>
          <w:szCs w:val="24"/>
        </w:rPr>
        <w:t>”.</w:t>
      </w:r>
    </w:p>
    <w:p w14:paraId="08132063" w14:textId="14FE1B43" w:rsidR="002D2051" w:rsidRDefault="00504725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realtà un giudizio di legittimità che riguarda la valutazione di un distanziometro non dovrebbe limitarsi </w:t>
      </w:r>
      <w:r w:rsidR="00053C5D">
        <w:rPr>
          <w:rFonts w:ascii="Cambria" w:hAnsi="Cambria"/>
          <w:sz w:val="24"/>
          <w:szCs w:val="24"/>
        </w:rPr>
        <w:t xml:space="preserve">solo </w:t>
      </w:r>
      <w:r>
        <w:rPr>
          <w:rFonts w:ascii="Cambria" w:hAnsi="Cambria"/>
          <w:sz w:val="24"/>
          <w:szCs w:val="24"/>
        </w:rPr>
        <w:t xml:space="preserve">ai casi in cui si registri un’impossibilità assoluta o quasi assoluta. </w:t>
      </w:r>
    </w:p>
    <w:p w14:paraId="629C88C0" w14:textId="5B84B390" w:rsidR="002D2051" w:rsidRDefault="00504725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Il giudizio dovrebbe prendere in consider</w:t>
      </w:r>
      <w:r w:rsidR="00B8256F">
        <w:rPr>
          <w:rFonts w:ascii="Cambria" w:hAnsi="Cambria"/>
          <w:sz w:val="24"/>
          <w:szCs w:val="24"/>
        </w:rPr>
        <w:t>a</w:t>
      </w:r>
      <w:r>
        <w:rPr>
          <w:rFonts w:ascii="Cambria" w:hAnsi="Cambria"/>
          <w:sz w:val="24"/>
          <w:szCs w:val="24"/>
        </w:rPr>
        <w:t xml:space="preserve">zione anche casi in cui la percentuale di </w:t>
      </w:r>
      <w:proofErr w:type="spellStart"/>
      <w:r>
        <w:rPr>
          <w:rFonts w:ascii="Cambria" w:hAnsi="Cambria"/>
          <w:sz w:val="24"/>
          <w:szCs w:val="24"/>
        </w:rPr>
        <w:t>insediabilità</w:t>
      </w:r>
      <w:proofErr w:type="spellEnd"/>
      <w:r>
        <w:rPr>
          <w:rFonts w:ascii="Cambria" w:hAnsi="Cambria"/>
          <w:sz w:val="24"/>
          <w:szCs w:val="24"/>
        </w:rPr>
        <w:t xml:space="preserve"> residua </w:t>
      </w:r>
      <w:r w:rsidR="00B8256F">
        <w:rPr>
          <w:rFonts w:ascii="Cambria" w:hAnsi="Cambria"/>
          <w:sz w:val="24"/>
          <w:szCs w:val="24"/>
        </w:rPr>
        <w:t xml:space="preserve">presenti valori </w:t>
      </w:r>
      <w:r w:rsidR="00053C5D">
        <w:rPr>
          <w:rFonts w:ascii="Cambria" w:hAnsi="Cambria"/>
          <w:sz w:val="24"/>
          <w:szCs w:val="24"/>
        </w:rPr>
        <w:t>più ampi</w:t>
      </w:r>
      <w:r w:rsidR="00B8256F">
        <w:rPr>
          <w:rFonts w:ascii="Cambria" w:hAnsi="Cambria"/>
          <w:sz w:val="24"/>
          <w:szCs w:val="24"/>
        </w:rPr>
        <w:t>.</w:t>
      </w:r>
    </w:p>
    <w:p w14:paraId="68ED4C64" w14:textId="60CE3A39" w:rsidR="00504725" w:rsidRDefault="00B8256F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 caso in esame ad esempio anche la percentuale di </w:t>
      </w:r>
      <w:proofErr w:type="spellStart"/>
      <w:r>
        <w:rPr>
          <w:rFonts w:ascii="Cambria" w:hAnsi="Cambria"/>
          <w:sz w:val="24"/>
          <w:szCs w:val="24"/>
        </w:rPr>
        <w:t>insediabilità</w:t>
      </w:r>
      <w:proofErr w:type="spellEnd"/>
      <w:r>
        <w:rPr>
          <w:rFonts w:ascii="Cambria" w:hAnsi="Cambria"/>
          <w:sz w:val="24"/>
          <w:szCs w:val="24"/>
        </w:rPr>
        <w:t xml:space="preserve"> determinata dai soli divieti regionali pari come detto al 7,7% avrebbe dovuto meritare la stessa preoccupazione dei G</w:t>
      </w:r>
      <w:r w:rsidR="00360410">
        <w:rPr>
          <w:rFonts w:ascii="Cambria" w:hAnsi="Cambria"/>
          <w:sz w:val="24"/>
          <w:szCs w:val="24"/>
        </w:rPr>
        <w:t>iudici.</w:t>
      </w:r>
    </w:p>
    <w:p w14:paraId="39464728" w14:textId="6E1C9C5A" w:rsidR="00E70682" w:rsidRDefault="00B8256F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 ciò per più di una ragione. </w:t>
      </w:r>
    </w:p>
    <w:p w14:paraId="565AD972" w14:textId="50A7C062" w:rsidR="00B8256F" w:rsidRDefault="00B8256F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Anzitutto va considerat</w:t>
      </w:r>
      <w:r w:rsidR="006F7072">
        <w:rPr>
          <w:rFonts w:ascii="Cambria" w:hAnsi="Cambria"/>
          <w:sz w:val="24"/>
          <w:szCs w:val="24"/>
        </w:rPr>
        <w:t>a una ragione di ordine pratico. S</w:t>
      </w:r>
      <w:r>
        <w:rPr>
          <w:rFonts w:ascii="Cambria" w:hAnsi="Cambria"/>
          <w:sz w:val="24"/>
          <w:szCs w:val="24"/>
        </w:rPr>
        <w:t xml:space="preserve">pesso le asseverazioni che vengono prodotte dai periti </w:t>
      </w:r>
      <w:r w:rsidR="00360410">
        <w:rPr>
          <w:rFonts w:ascii="Cambria" w:hAnsi="Cambria"/>
          <w:sz w:val="24"/>
          <w:szCs w:val="24"/>
        </w:rPr>
        <w:t xml:space="preserve">nominati dai </w:t>
      </w:r>
      <w:r>
        <w:rPr>
          <w:rFonts w:ascii="Cambria" w:hAnsi="Cambria"/>
          <w:sz w:val="24"/>
          <w:szCs w:val="24"/>
        </w:rPr>
        <w:t xml:space="preserve">tribunali non </w:t>
      </w:r>
      <w:r w:rsidR="002D2051">
        <w:rPr>
          <w:rFonts w:ascii="Cambria" w:hAnsi="Cambria"/>
          <w:sz w:val="24"/>
          <w:szCs w:val="24"/>
        </w:rPr>
        <w:t>forniscono</w:t>
      </w:r>
      <w:r>
        <w:rPr>
          <w:rFonts w:ascii="Cambria" w:hAnsi="Cambria"/>
          <w:sz w:val="24"/>
          <w:szCs w:val="24"/>
        </w:rPr>
        <w:t xml:space="preserve"> un </w:t>
      </w:r>
      <w:r w:rsidR="00360410">
        <w:rPr>
          <w:rFonts w:ascii="Cambria" w:hAnsi="Cambria"/>
          <w:sz w:val="24"/>
          <w:szCs w:val="24"/>
        </w:rPr>
        <w:t xml:space="preserve">dato effettivo ma </w:t>
      </w:r>
      <w:r w:rsidR="002D2051">
        <w:rPr>
          <w:rFonts w:ascii="Cambria" w:hAnsi="Cambria"/>
          <w:sz w:val="24"/>
          <w:szCs w:val="24"/>
        </w:rPr>
        <w:t>giungo a conclusioni operando</w:t>
      </w:r>
      <w:r w:rsidR="00360410">
        <w:rPr>
          <w:rFonts w:ascii="Cambria" w:hAnsi="Cambria"/>
          <w:sz w:val="24"/>
          <w:szCs w:val="24"/>
        </w:rPr>
        <w:t xml:space="preserve"> delle assunzioni che ben potrebbero essere smentite dalla verifica concreta </w:t>
      </w:r>
      <w:r w:rsidR="002D2051">
        <w:rPr>
          <w:rFonts w:ascii="Cambria" w:hAnsi="Cambria"/>
          <w:sz w:val="24"/>
          <w:szCs w:val="24"/>
        </w:rPr>
        <w:t xml:space="preserve">poi da farsi </w:t>
      </w:r>
      <w:r w:rsidR="00360410">
        <w:rPr>
          <w:rFonts w:ascii="Cambria" w:hAnsi="Cambria"/>
          <w:sz w:val="24"/>
          <w:szCs w:val="24"/>
        </w:rPr>
        <w:t xml:space="preserve">immobile per immobile. </w:t>
      </w:r>
      <w:r w:rsidR="002D2051">
        <w:rPr>
          <w:rFonts w:ascii="Cambria" w:hAnsi="Cambria"/>
          <w:sz w:val="24"/>
          <w:szCs w:val="24"/>
        </w:rPr>
        <w:t xml:space="preserve"> </w:t>
      </w:r>
      <w:r w:rsidR="006F7072">
        <w:rPr>
          <w:rFonts w:ascii="Cambria" w:hAnsi="Cambria"/>
          <w:sz w:val="24"/>
          <w:szCs w:val="24"/>
        </w:rPr>
        <w:t>E dunque i dati percentuali ben potrebbero peggiorare</w:t>
      </w:r>
      <w:r w:rsidR="002D2051">
        <w:rPr>
          <w:rFonts w:ascii="Cambria" w:hAnsi="Cambria"/>
          <w:sz w:val="24"/>
          <w:szCs w:val="24"/>
        </w:rPr>
        <w:t xml:space="preserve">, </w:t>
      </w:r>
      <w:r w:rsidR="006F7072">
        <w:rPr>
          <w:rFonts w:ascii="Cambria" w:hAnsi="Cambria"/>
          <w:sz w:val="24"/>
          <w:szCs w:val="24"/>
        </w:rPr>
        <w:t>perché magari molti immobili non sono idonei o non sono disponibili effe</w:t>
      </w:r>
      <w:r w:rsidR="002D2051">
        <w:rPr>
          <w:rFonts w:ascii="Cambria" w:hAnsi="Cambria"/>
          <w:sz w:val="24"/>
          <w:szCs w:val="24"/>
        </w:rPr>
        <w:t>t</w:t>
      </w:r>
      <w:r w:rsidR="006F7072">
        <w:rPr>
          <w:rFonts w:ascii="Cambria" w:hAnsi="Cambria"/>
          <w:sz w:val="24"/>
          <w:szCs w:val="24"/>
        </w:rPr>
        <w:t>tivamente.</w:t>
      </w:r>
    </w:p>
    <w:p w14:paraId="604971D4" w14:textId="5F049AA4" w:rsidR="00E10C89" w:rsidRDefault="00360410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 poi </w:t>
      </w:r>
      <w:r w:rsidR="006F7072">
        <w:rPr>
          <w:rFonts w:ascii="Cambria" w:hAnsi="Cambria"/>
          <w:sz w:val="24"/>
          <w:szCs w:val="24"/>
        </w:rPr>
        <w:t xml:space="preserve">si pone un tema </w:t>
      </w:r>
      <w:r w:rsidR="002D2051">
        <w:rPr>
          <w:rFonts w:ascii="Cambria" w:hAnsi="Cambria"/>
          <w:sz w:val="24"/>
          <w:szCs w:val="24"/>
        </w:rPr>
        <w:t>anche</w:t>
      </w:r>
      <w:r w:rsidR="006F7072">
        <w:rPr>
          <w:rFonts w:ascii="Cambria" w:hAnsi="Cambria"/>
          <w:sz w:val="24"/>
          <w:szCs w:val="24"/>
        </w:rPr>
        <w:t xml:space="preserve"> sotto il profilo </w:t>
      </w:r>
      <w:r w:rsidR="00E146EA">
        <w:rPr>
          <w:rFonts w:ascii="Cambria" w:hAnsi="Cambria"/>
          <w:sz w:val="24"/>
          <w:szCs w:val="24"/>
        </w:rPr>
        <w:t xml:space="preserve">del decoro urbano e </w:t>
      </w:r>
      <w:r w:rsidR="006F7072">
        <w:rPr>
          <w:rFonts w:ascii="Cambria" w:hAnsi="Cambria"/>
          <w:sz w:val="24"/>
          <w:szCs w:val="24"/>
        </w:rPr>
        <w:t>sanitario.  Q</w:t>
      </w:r>
      <w:r>
        <w:rPr>
          <w:rFonts w:ascii="Cambria" w:hAnsi="Cambria"/>
          <w:sz w:val="24"/>
          <w:szCs w:val="24"/>
        </w:rPr>
        <w:t>uello che conta non è solo il fatto</w:t>
      </w:r>
      <w:r w:rsidR="002D2051">
        <w:rPr>
          <w:rFonts w:ascii="Cambria" w:hAnsi="Cambria"/>
          <w:sz w:val="24"/>
          <w:szCs w:val="24"/>
        </w:rPr>
        <w:t xml:space="preserve"> che</w:t>
      </w:r>
      <w:r>
        <w:rPr>
          <w:rFonts w:ascii="Cambria" w:hAnsi="Cambria"/>
          <w:sz w:val="24"/>
          <w:szCs w:val="24"/>
        </w:rPr>
        <w:t xml:space="preserve"> gli spazi residui risultano “</w:t>
      </w:r>
      <w:r w:rsidRPr="00E10C89">
        <w:rPr>
          <w:rFonts w:ascii="Cambria" w:hAnsi="Cambria"/>
          <w:i/>
          <w:iCs/>
          <w:sz w:val="24"/>
          <w:szCs w:val="24"/>
        </w:rPr>
        <w:t>scarsi</w:t>
      </w:r>
      <w:r>
        <w:rPr>
          <w:rFonts w:ascii="Cambria" w:hAnsi="Cambria"/>
          <w:sz w:val="24"/>
          <w:szCs w:val="24"/>
        </w:rPr>
        <w:t xml:space="preserve">” ma anche </w:t>
      </w:r>
      <w:r w:rsidR="002D2051">
        <w:rPr>
          <w:rFonts w:ascii="Cambria" w:hAnsi="Cambria"/>
          <w:sz w:val="24"/>
          <w:szCs w:val="24"/>
        </w:rPr>
        <w:t xml:space="preserve">che </w:t>
      </w:r>
      <w:r>
        <w:rPr>
          <w:rFonts w:ascii="Cambria" w:hAnsi="Cambria"/>
          <w:sz w:val="24"/>
          <w:szCs w:val="24"/>
        </w:rPr>
        <w:t xml:space="preserve">spesso </w:t>
      </w:r>
      <w:r w:rsidR="002D2051">
        <w:rPr>
          <w:rFonts w:ascii="Cambria" w:hAnsi="Cambria"/>
          <w:sz w:val="24"/>
          <w:szCs w:val="24"/>
        </w:rPr>
        <w:t xml:space="preserve">gli spazi residui </w:t>
      </w:r>
      <w:r>
        <w:rPr>
          <w:rFonts w:ascii="Cambria" w:hAnsi="Cambria"/>
          <w:sz w:val="24"/>
          <w:szCs w:val="24"/>
        </w:rPr>
        <w:t>risultano ai “</w:t>
      </w:r>
      <w:r w:rsidRPr="00E10C89">
        <w:rPr>
          <w:rFonts w:ascii="Cambria" w:hAnsi="Cambria"/>
          <w:i/>
          <w:iCs/>
          <w:sz w:val="24"/>
          <w:szCs w:val="24"/>
        </w:rPr>
        <w:t>margini</w:t>
      </w:r>
      <w:r>
        <w:rPr>
          <w:rFonts w:ascii="Cambria" w:hAnsi="Cambria"/>
          <w:sz w:val="24"/>
          <w:szCs w:val="24"/>
        </w:rPr>
        <w:t xml:space="preserve">” dei territori. Spesso nelle periferie. </w:t>
      </w:r>
    </w:p>
    <w:p w14:paraId="1DCB79A3" w14:textId="12671BBF" w:rsidR="002D2051" w:rsidRDefault="00360410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 questo non è un bel risultato</w:t>
      </w:r>
      <w:r w:rsidR="00E10C89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</w:t>
      </w:r>
      <w:r w:rsidR="00E10C89">
        <w:rPr>
          <w:rFonts w:ascii="Cambria" w:hAnsi="Cambria"/>
          <w:sz w:val="24"/>
          <w:szCs w:val="24"/>
        </w:rPr>
        <w:t xml:space="preserve">da un lato, </w:t>
      </w:r>
      <w:r>
        <w:rPr>
          <w:rFonts w:ascii="Cambria" w:hAnsi="Cambria"/>
          <w:sz w:val="24"/>
          <w:szCs w:val="24"/>
        </w:rPr>
        <w:t xml:space="preserve">sotto il profilo del decoro urbano </w:t>
      </w:r>
      <w:r w:rsidR="00E10C89">
        <w:rPr>
          <w:rFonts w:ascii="Cambria" w:hAnsi="Cambria"/>
          <w:sz w:val="24"/>
          <w:szCs w:val="24"/>
        </w:rPr>
        <w:t xml:space="preserve">perché </w:t>
      </w:r>
      <w:r>
        <w:rPr>
          <w:rFonts w:ascii="Cambria" w:hAnsi="Cambria"/>
          <w:sz w:val="24"/>
          <w:szCs w:val="24"/>
        </w:rPr>
        <w:t xml:space="preserve">non sembra legittimo andare a penalizzare zone </w:t>
      </w:r>
      <w:r w:rsidR="00E146EA">
        <w:rPr>
          <w:rFonts w:ascii="Cambria" w:hAnsi="Cambria"/>
          <w:sz w:val="24"/>
          <w:szCs w:val="24"/>
        </w:rPr>
        <w:t xml:space="preserve">spesso </w:t>
      </w:r>
      <w:r>
        <w:rPr>
          <w:rFonts w:ascii="Cambria" w:hAnsi="Cambria"/>
          <w:sz w:val="24"/>
          <w:szCs w:val="24"/>
        </w:rPr>
        <w:t>già in difficoltà</w:t>
      </w:r>
      <w:r w:rsidR="00E146EA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sulle quali andrebbero fatti sempre più investimenti di riqualificazione.</w:t>
      </w:r>
    </w:p>
    <w:p w14:paraId="3A20FCEC" w14:textId="531AE4E7" w:rsidR="00360410" w:rsidRDefault="00E0752C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 dall’altro, sotto il profilo sanitario </w:t>
      </w:r>
      <w:r w:rsidR="00360410">
        <w:rPr>
          <w:rFonts w:ascii="Cambria" w:hAnsi="Cambria"/>
          <w:sz w:val="24"/>
          <w:szCs w:val="24"/>
        </w:rPr>
        <w:t xml:space="preserve">perché il fenomeno della concentrazione dell’offerta </w:t>
      </w:r>
      <w:r w:rsidR="00053C5D">
        <w:rPr>
          <w:rFonts w:ascii="Cambria" w:hAnsi="Cambria"/>
          <w:sz w:val="24"/>
          <w:szCs w:val="24"/>
        </w:rPr>
        <w:t xml:space="preserve">ai margini </w:t>
      </w:r>
      <w:r w:rsidR="00360410">
        <w:rPr>
          <w:rFonts w:ascii="Cambria" w:hAnsi="Cambria"/>
          <w:sz w:val="24"/>
          <w:szCs w:val="24"/>
        </w:rPr>
        <w:t>va a penalizzar</w:t>
      </w:r>
      <w:r w:rsidR="00E146EA">
        <w:rPr>
          <w:rFonts w:ascii="Cambria" w:hAnsi="Cambria"/>
          <w:sz w:val="24"/>
          <w:szCs w:val="24"/>
        </w:rPr>
        <w:t>e</w:t>
      </w:r>
      <w:r w:rsidR="00360410">
        <w:rPr>
          <w:rFonts w:ascii="Cambria" w:hAnsi="Cambria"/>
          <w:sz w:val="24"/>
          <w:szCs w:val="24"/>
        </w:rPr>
        <w:t xml:space="preserve"> proprio quelle aree urbane a</w:t>
      </w:r>
      <w:r>
        <w:rPr>
          <w:rFonts w:ascii="Cambria" w:hAnsi="Cambria"/>
          <w:sz w:val="24"/>
          <w:szCs w:val="24"/>
        </w:rPr>
        <w:t xml:space="preserve"> </w:t>
      </w:r>
      <w:r w:rsidR="00360410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a</w:t>
      </w:r>
      <w:r w:rsidR="00360410">
        <w:rPr>
          <w:rFonts w:ascii="Cambria" w:hAnsi="Cambria"/>
          <w:sz w:val="24"/>
          <w:szCs w:val="24"/>
        </w:rPr>
        <w:t>ggiore densità abitativa, con ciò determin</w:t>
      </w:r>
      <w:r>
        <w:rPr>
          <w:rFonts w:ascii="Cambria" w:hAnsi="Cambria"/>
          <w:sz w:val="24"/>
          <w:szCs w:val="24"/>
        </w:rPr>
        <w:t>a</w:t>
      </w:r>
      <w:r w:rsidR="00360410">
        <w:rPr>
          <w:rFonts w:ascii="Cambria" w:hAnsi="Cambria"/>
          <w:sz w:val="24"/>
          <w:szCs w:val="24"/>
        </w:rPr>
        <w:t>ndo un</w:t>
      </w:r>
      <w:r>
        <w:rPr>
          <w:rFonts w:ascii="Cambria" w:hAnsi="Cambria"/>
          <w:sz w:val="24"/>
          <w:szCs w:val="24"/>
        </w:rPr>
        <w:t>’amplificazione del cosiddetto “</w:t>
      </w:r>
      <w:r w:rsidRPr="00053C5D">
        <w:rPr>
          <w:rFonts w:ascii="Cambria" w:hAnsi="Cambria"/>
          <w:i/>
          <w:iCs/>
          <w:sz w:val="24"/>
          <w:szCs w:val="24"/>
        </w:rPr>
        <w:t xml:space="preserve">effetto </w:t>
      </w:r>
      <w:r w:rsidR="00053C5D">
        <w:rPr>
          <w:rFonts w:ascii="Cambria" w:hAnsi="Cambria"/>
          <w:i/>
          <w:iCs/>
          <w:sz w:val="24"/>
          <w:szCs w:val="24"/>
        </w:rPr>
        <w:t xml:space="preserve">di presenza massiccia di </w:t>
      </w:r>
      <w:r w:rsidRPr="00053C5D">
        <w:rPr>
          <w:rFonts w:ascii="Cambria" w:hAnsi="Cambria"/>
          <w:i/>
          <w:iCs/>
          <w:sz w:val="24"/>
          <w:szCs w:val="24"/>
        </w:rPr>
        <w:t>offerta</w:t>
      </w:r>
      <w:r>
        <w:rPr>
          <w:rFonts w:ascii="Cambria" w:hAnsi="Cambria"/>
          <w:sz w:val="24"/>
          <w:szCs w:val="24"/>
        </w:rPr>
        <w:t xml:space="preserve">” e con esso un </w:t>
      </w:r>
      <w:r w:rsidR="00360410">
        <w:rPr>
          <w:rFonts w:ascii="Cambria" w:hAnsi="Cambria"/>
          <w:sz w:val="24"/>
          <w:szCs w:val="24"/>
        </w:rPr>
        <w:t xml:space="preserve">ulteriore risultato contro lo scopo di prevenire il disturbo da gioco d’azzardo. </w:t>
      </w:r>
    </w:p>
    <w:p w14:paraId="7210F3B5" w14:textId="41239960" w:rsidR="00714BD7" w:rsidRPr="007D5A87" w:rsidRDefault="00E0752C" w:rsidP="00714BD7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Infine</w:t>
      </w:r>
      <w:r w:rsidR="00E146EA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sul punto è stato chiarissimo anche il Pres</w:t>
      </w:r>
      <w:r w:rsidR="00053C5D">
        <w:rPr>
          <w:rFonts w:ascii="Cambria" w:hAnsi="Cambria"/>
          <w:sz w:val="24"/>
          <w:szCs w:val="24"/>
        </w:rPr>
        <w:t>id</w:t>
      </w:r>
      <w:r>
        <w:rPr>
          <w:rFonts w:ascii="Cambria" w:hAnsi="Cambria"/>
          <w:sz w:val="24"/>
          <w:szCs w:val="24"/>
        </w:rPr>
        <w:t xml:space="preserve">ente Emerito della Corte Costituzionale, il Prof. Annibale Marini, che in un parere ha ben evidenziato che </w:t>
      </w:r>
      <w:r w:rsidRPr="007D5A87">
        <w:rPr>
          <w:rFonts w:ascii="Cambria" w:hAnsi="Cambria"/>
          <w:sz w:val="24"/>
          <w:szCs w:val="24"/>
        </w:rPr>
        <w:t xml:space="preserve">il concetto di effetto espulsivo non presuppone necessariamente un divieto assoluto del 100% dei territori di riferimento, </w:t>
      </w:r>
      <w:r w:rsidR="00714BD7" w:rsidRPr="007D5A87">
        <w:rPr>
          <w:rFonts w:ascii="Cambria" w:hAnsi="Cambria"/>
          <w:sz w:val="24"/>
          <w:szCs w:val="24"/>
        </w:rPr>
        <w:t xml:space="preserve">ma anche laddove si superino soglie più basse ma tali da </w:t>
      </w:r>
      <w:r w:rsidR="007D5A87">
        <w:rPr>
          <w:rFonts w:ascii="Cambria" w:hAnsi="Cambria"/>
          <w:sz w:val="24"/>
          <w:szCs w:val="24"/>
        </w:rPr>
        <w:t>“</w:t>
      </w:r>
      <w:r w:rsidR="00714BD7" w:rsidRPr="007D5A87">
        <w:rPr>
          <w:rFonts w:ascii="Cambria" w:hAnsi="Cambria"/>
          <w:i/>
          <w:iCs/>
          <w:sz w:val="24"/>
          <w:szCs w:val="24"/>
        </w:rPr>
        <w:t>rendere non attrattiva l’attività economica e da risultare non proporzionate (…) È evidente, infatti, che anche una percentuale, ad esempio, del 75 per cento in alcune Regioni prevalentemente montuose possa risultare del tutto inadeguata, e dunque di dubbia legittimità costituzionale</w:t>
      </w:r>
      <w:r w:rsidR="007D5A87">
        <w:rPr>
          <w:rFonts w:ascii="Cambria" w:hAnsi="Cambria"/>
          <w:sz w:val="24"/>
          <w:szCs w:val="24"/>
        </w:rPr>
        <w:t>”.</w:t>
      </w:r>
    </w:p>
    <w:p w14:paraId="4AD94959" w14:textId="77777777" w:rsidR="00E0752C" w:rsidRDefault="00E0752C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</w:p>
    <w:p w14:paraId="227F2FD0" w14:textId="1C1AE052" w:rsidR="00F75B40" w:rsidRPr="00F26160" w:rsidRDefault="00053C5D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Cosa significa e</w:t>
      </w:r>
      <w:r w:rsidR="00E146EA">
        <w:rPr>
          <w:rFonts w:ascii="Cambria" w:hAnsi="Cambria"/>
          <w:b/>
          <w:bCs/>
          <w:sz w:val="24"/>
          <w:szCs w:val="24"/>
        </w:rPr>
        <w:t>scludere dal calcolo le aree altrimenti vietate</w:t>
      </w:r>
      <w:r>
        <w:rPr>
          <w:rFonts w:ascii="Cambria" w:hAnsi="Cambria"/>
          <w:b/>
          <w:bCs/>
          <w:sz w:val="24"/>
          <w:szCs w:val="24"/>
        </w:rPr>
        <w:t>? E quale è la percentuale da rappresentare?</w:t>
      </w:r>
    </w:p>
    <w:p w14:paraId="0459FD6E" w14:textId="01AC2A0E" w:rsidR="00F75B40" w:rsidRDefault="00E146EA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sz w:val="24"/>
          <w:szCs w:val="24"/>
        </w:rPr>
        <w:t>Come detto i</w:t>
      </w:r>
      <w:r w:rsidR="00F75B40">
        <w:rPr>
          <w:rFonts w:ascii="Cambria" w:hAnsi="Cambria"/>
          <w:sz w:val="24"/>
          <w:szCs w:val="24"/>
        </w:rPr>
        <w:t xml:space="preserve">n presenza </w:t>
      </w:r>
      <w:r>
        <w:rPr>
          <w:rFonts w:ascii="Cambria" w:hAnsi="Cambria"/>
          <w:sz w:val="24"/>
          <w:szCs w:val="24"/>
        </w:rPr>
        <w:t>della circostanza di cui sopra</w:t>
      </w:r>
      <w:r w:rsidR="00F75B40">
        <w:rPr>
          <w:rFonts w:ascii="Cambria" w:hAnsi="Cambria"/>
          <w:sz w:val="24"/>
          <w:szCs w:val="24"/>
        </w:rPr>
        <w:t xml:space="preserve">, il Consiglio di Stato propone di operare una verificazione tecnica, ma precisando </w:t>
      </w:r>
      <w:r w:rsidR="00877099">
        <w:rPr>
          <w:rFonts w:ascii="Cambria" w:hAnsi="Cambria"/>
          <w:sz w:val="24"/>
          <w:szCs w:val="24"/>
        </w:rPr>
        <w:t>che il perito abbia cura “</w:t>
      </w:r>
      <w:r w:rsidR="00F75B40" w:rsidRPr="00837481">
        <w:rPr>
          <w:rFonts w:ascii="Cambria" w:hAnsi="Cambria"/>
          <w:i/>
          <w:iCs/>
          <w:sz w:val="24"/>
          <w:szCs w:val="24"/>
        </w:rPr>
        <w:t>di escludere dal computo tutte quelle che, per qualsiasi ragione, presentano limitazioni di sorta, ad esempio in ragione delle destinazioni d’uso delle aree o per altri vincoli o limitazioni di carattere urbanistico o di altro genere.</w:t>
      </w:r>
      <w:r w:rsidR="00F75B40">
        <w:rPr>
          <w:rFonts w:ascii="Cambria" w:hAnsi="Cambria"/>
          <w:i/>
          <w:iCs/>
          <w:sz w:val="24"/>
          <w:szCs w:val="24"/>
        </w:rPr>
        <w:t>”</w:t>
      </w:r>
      <w:r w:rsidR="00877099">
        <w:rPr>
          <w:rFonts w:ascii="Cambria" w:hAnsi="Cambria"/>
          <w:i/>
          <w:iCs/>
          <w:sz w:val="24"/>
          <w:szCs w:val="24"/>
        </w:rPr>
        <w:t>.</w:t>
      </w:r>
    </w:p>
    <w:p w14:paraId="60E5B3E9" w14:textId="0F0F7AF4" w:rsidR="00877099" w:rsidRDefault="00877099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Ebbene qui va chiarito che quando i </w:t>
      </w:r>
      <w:r w:rsidR="00F4422A">
        <w:rPr>
          <w:rFonts w:ascii="Cambria" w:hAnsi="Cambria"/>
          <w:sz w:val="24"/>
          <w:szCs w:val="24"/>
        </w:rPr>
        <w:t>G</w:t>
      </w:r>
      <w:r>
        <w:rPr>
          <w:rFonts w:ascii="Cambria" w:hAnsi="Cambria"/>
          <w:sz w:val="24"/>
          <w:szCs w:val="24"/>
        </w:rPr>
        <w:t xml:space="preserve">iudici dicono che vanno escluse dal computo le aree altrimenti vietate </w:t>
      </w:r>
      <w:r w:rsidR="00F4422A">
        <w:rPr>
          <w:rFonts w:ascii="Cambria" w:hAnsi="Cambria"/>
          <w:sz w:val="24"/>
          <w:szCs w:val="24"/>
        </w:rPr>
        <w:t xml:space="preserve">intendono </w:t>
      </w:r>
      <w:r>
        <w:rPr>
          <w:rFonts w:ascii="Cambria" w:hAnsi="Cambria"/>
          <w:sz w:val="24"/>
          <w:szCs w:val="24"/>
        </w:rPr>
        <w:t xml:space="preserve">che il perito </w:t>
      </w:r>
      <w:r w:rsidR="00F4422A">
        <w:rPr>
          <w:rFonts w:ascii="Cambria" w:hAnsi="Cambria"/>
          <w:sz w:val="24"/>
          <w:szCs w:val="24"/>
        </w:rPr>
        <w:t>quando stima “</w:t>
      </w:r>
      <w:r w:rsidR="00F4422A" w:rsidRPr="00837481">
        <w:rPr>
          <w:rFonts w:ascii="Cambria" w:hAnsi="Cambria"/>
          <w:i/>
          <w:iCs/>
          <w:sz w:val="24"/>
          <w:szCs w:val="24"/>
        </w:rPr>
        <w:t xml:space="preserve">la superficie di aree idonee presenti nel Comune </w:t>
      </w:r>
      <w:r w:rsidR="00F4422A">
        <w:rPr>
          <w:rFonts w:ascii="Cambria" w:hAnsi="Cambria"/>
          <w:i/>
          <w:iCs/>
          <w:sz w:val="24"/>
          <w:szCs w:val="24"/>
        </w:rPr>
        <w:t xml:space="preserve">(…) </w:t>
      </w:r>
      <w:r w:rsidR="00F4422A" w:rsidRPr="00837481">
        <w:rPr>
          <w:rFonts w:ascii="Cambria" w:hAnsi="Cambria"/>
          <w:i/>
          <w:iCs/>
          <w:sz w:val="24"/>
          <w:szCs w:val="24"/>
        </w:rPr>
        <w:t>utili alla delocalizzazione delle sale da gioco</w:t>
      </w:r>
      <w:r w:rsidR="00F4422A">
        <w:rPr>
          <w:rFonts w:ascii="Cambria" w:hAnsi="Cambria"/>
          <w:i/>
          <w:iCs/>
          <w:sz w:val="24"/>
          <w:szCs w:val="24"/>
        </w:rPr>
        <w:t>”</w:t>
      </w:r>
      <w:r w:rsidR="00F4422A">
        <w:rPr>
          <w:rFonts w:ascii="Cambria" w:hAnsi="Cambria"/>
          <w:sz w:val="24"/>
          <w:szCs w:val="24"/>
        </w:rPr>
        <w:t xml:space="preserve"> tolga non solo le aree vietare dall’applicazione dei distanziometri ma anche quelle aree </w:t>
      </w:r>
      <w:r w:rsidR="00F4422A">
        <w:rPr>
          <w:rFonts w:ascii="Cambria" w:hAnsi="Cambria"/>
          <w:sz w:val="24"/>
          <w:szCs w:val="24"/>
        </w:rPr>
        <w:t>vietate per motivi diversi</w:t>
      </w:r>
      <w:r w:rsidR="00F4422A">
        <w:rPr>
          <w:rFonts w:ascii="Cambria" w:hAnsi="Cambria"/>
          <w:sz w:val="24"/>
          <w:szCs w:val="24"/>
        </w:rPr>
        <w:t xml:space="preserve">.   L’obiettivo è quello di fornire </w:t>
      </w:r>
      <w:r>
        <w:rPr>
          <w:rFonts w:ascii="Cambria" w:hAnsi="Cambria"/>
          <w:sz w:val="24"/>
          <w:szCs w:val="24"/>
        </w:rPr>
        <w:t>una rappresentazione completa del fenomeno.</w:t>
      </w:r>
    </w:p>
    <w:p w14:paraId="7F0E7619" w14:textId="4632722F" w:rsidR="0027376F" w:rsidRDefault="00F4422A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Altro aspetto che </w:t>
      </w:r>
      <w:r w:rsidR="0027376F">
        <w:rPr>
          <w:rFonts w:ascii="Cambria" w:hAnsi="Cambria"/>
          <w:sz w:val="24"/>
          <w:szCs w:val="24"/>
        </w:rPr>
        <w:t xml:space="preserve">spesso viene in rilievo nel corso dei giudizi è quello della modalità di calcolo della percentuale di area insediabile.   In effetti per alcuni periti il calcolo andrebbe fatto confrontando i chilometri quadrati delle aree residue ritenute insediabili, da un lato, con i chilometri quadrati delle aree del territorio che prima dell’applicazione dei distanziometri risultavano astrattamente insediabili (ossia non assoggettate a divieti di altra tipologia come le destinazioni d’uso o altre), dall’altro. </w:t>
      </w:r>
    </w:p>
    <w:p w14:paraId="5D95ECC6" w14:textId="77777777" w:rsidR="00864244" w:rsidRDefault="0027376F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Tuttavia ciò non è corretto in quanto così facendo </w:t>
      </w:r>
      <w:r>
        <w:rPr>
          <w:rFonts w:ascii="Cambria" w:hAnsi="Cambria"/>
          <w:sz w:val="24"/>
          <w:szCs w:val="24"/>
        </w:rPr>
        <w:t>non si fornisce un’informazione completa</w:t>
      </w:r>
      <w:r w:rsidR="00BE3884">
        <w:rPr>
          <w:rFonts w:ascii="Cambria" w:hAnsi="Cambria"/>
          <w:sz w:val="24"/>
          <w:szCs w:val="24"/>
        </w:rPr>
        <w:t xml:space="preserve">.   Il dato così calcolato fa solo vedere quale sia l’effetto del distanziometro rispetto alla situazione quo ante di teorica </w:t>
      </w:r>
      <w:proofErr w:type="spellStart"/>
      <w:r w:rsidR="00BE3884">
        <w:rPr>
          <w:rFonts w:ascii="Cambria" w:hAnsi="Cambria"/>
          <w:sz w:val="24"/>
          <w:szCs w:val="24"/>
        </w:rPr>
        <w:t>insediabilità</w:t>
      </w:r>
      <w:proofErr w:type="spellEnd"/>
      <w:r w:rsidR="00BE3884">
        <w:rPr>
          <w:rFonts w:ascii="Cambria" w:hAnsi="Cambria"/>
          <w:sz w:val="24"/>
          <w:szCs w:val="24"/>
        </w:rPr>
        <w:t xml:space="preserve">.  Mentre quello che interessa ai Giudici per la verifica di legittimità è comprendere quanto </w:t>
      </w:r>
      <w:r w:rsidR="00A2089C">
        <w:rPr>
          <w:rFonts w:ascii="Cambria" w:hAnsi="Cambria"/>
          <w:sz w:val="24"/>
          <w:szCs w:val="24"/>
        </w:rPr>
        <w:t>s</w:t>
      </w:r>
      <w:r w:rsidR="00BE3884">
        <w:rPr>
          <w:rFonts w:ascii="Cambria" w:hAnsi="Cambria"/>
          <w:sz w:val="24"/>
          <w:szCs w:val="24"/>
        </w:rPr>
        <w:t>ia di f</w:t>
      </w:r>
      <w:r w:rsidR="00A2089C">
        <w:rPr>
          <w:rFonts w:ascii="Cambria" w:hAnsi="Cambria"/>
          <w:sz w:val="24"/>
          <w:szCs w:val="24"/>
        </w:rPr>
        <w:t>at</w:t>
      </w:r>
      <w:r w:rsidR="00BE3884">
        <w:rPr>
          <w:rFonts w:ascii="Cambria" w:hAnsi="Cambria"/>
          <w:sz w:val="24"/>
          <w:szCs w:val="24"/>
        </w:rPr>
        <w:t>to ridotta la presenza di offerta pubblica di gioco</w:t>
      </w:r>
      <w:r w:rsidR="00864244">
        <w:rPr>
          <w:rFonts w:ascii="Cambria" w:hAnsi="Cambria"/>
          <w:sz w:val="24"/>
          <w:szCs w:val="24"/>
        </w:rPr>
        <w:t xml:space="preserve"> sull’intero territorio comunale</w:t>
      </w:r>
      <w:r w:rsidR="00BE3884">
        <w:rPr>
          <w:rFonts w:ascii="Cambria" w:hAnsi="Cambria"/>
          <w:sz w:val="24"/>
          <w:szCs w:val="24"/>
        </w:rPr>
        <w:t xml:space="preserve">.  </w:t>
      </w:r>
    </w:p>
    <w:p w14:paraId="678F595D" w14:textId="28D3BA11" w:rsidR="0027376F" w:rsidRDefault="00BE3884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 questo la percentuale andrebbe invece calcolata paragonando </w:t>
      </w:r>
      <w:r>
        <w:rPr>
          <w:rFonts w:ascii="Cambria" w:hAnsi="Cambria"/>
          <w:sz w:val="24"/>
          <w:szCs w:val="24"/>
        </w:rPr>
        <w:t>i chilometri quadrati delle aree residue ritenute insediabili, da un lato, con i chilometri quadrati dell</w:t>
      </w:r>
      <w:r>
        <w:rPr>
          <w:rFonts w:ascii="Cambria" w:hAnsi="Cambria"/>
          <w:sz w:val="24"/>
          <w:szCs w:val="24"/>
        </w:rPr>
        <w:t xml:space="preserve">’intera area del </w:t>
      </w:r>
      <w:r>
        <w:rPr>
          <w:rFonts w:ascii="Cambria" w:hAnsi="Cambria"/>
          <w:sz w:val="24"/>
          <w:szCs w:val="24"/>
        </w:rPr>
        <w:t xml:space="preserve">territorio </w:t>
      </w:r>
      <w:r>
        <w:rPr>
          <w:rFonts w:ascii="Cambria" w:hAnsi="Cambria"/>
          <w:sz w:val="24"/>
          <w:szCs w:val="24"/>
        </w:rPr>
        <w:t>comunale</w:t>
      </w:r>
      <w:r>
        <w:rPr>
          <w:rFonts w:ascii="Cambria" w:hAnsi="Cambria"/>
          <w:sz w:val="24"/>
          <w:szCs w:val="24"/>
        </w:rPr>
        <w:t>, dall’altro.</w:t>
      </w:r>
    </w:p>
    <w:p w14:paraId="1389C017" w14:textId="00733544" w:rsidR="00F4422A" w:rsidRDefault="00BE3884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 limite possono essere fatte rilevare entrambe </w:t>
      </w:r>
      <w:r w:rsidR="00A2089C">
        <w:rPr>
          <w:rFonts w:ascii="Cambria" w:hAnsi="Cambria"/>
          <w:sz w:val="24"/>
          <w:szCs w:val="24"/>
        </w:rPr>
        <w:t xml:space="preserve">le percentuali, calcolate con entrambe </w:t>
      </w:r>
      <w:r>
        <w:rPr>
          <w:rFonts w:ascii="Cambria" w:hAnsi="Cambria"/>
          <w:sz w:val="24"/>
          <w:szCs w:val="24"/>
        </w:rPr>
        <w:t xml:space="preserve">le modalità, </w:t>
      </w:r>
      <w:r w:rsidR="00A2089C">
        <w:rPr>
          <w:rFonts w:ascii="Cambria" w:hAnsi="Cambria"/>
          <w:sz w:val="24"/>
          <w:szCs w:val="24"/>
        </w:rPr>
        <w:t xml:space="preserve">ma </w:t>
      </w:r>
      <w:r>
        <w:rPr>
          <w:rFonts w:ascii="Cambria" w:hAnsi="Cambria"/>
          <w:sz w:val="24"/>
          <w:szCs w:val="24"/>
        </w:rPr>
        <w:t xml:space="preserve">con l’obiettivo </w:t>
      </w:r>
      <w:r w:rsidR="00A2089C">
        <w:rPr>
          <w:rFonts w:ascii="Cambria" w:hAnsi="Cambria"/>
          <w:sz w:val="24"/>
          <w:szCs w:val="24"/>
        </w:rPr>
        <w:t xml:space="preserve">di tenere fuori dalle valutazioni non gradite escogitazioni eventualmente insincere, finalizzate a far apparire meno rilevante il problema di quanto lo sia effettivamente.   Spiegando quindi </w:t>
      </w:r>
      <w:r>
        <w:rPr>
          <w:rFonts w:ascii="Cambria" w:hAnsi="Cambria"/>
          <w:sz w:val="24"/>
          <w:szCs w:val="24"/>
        </w:rPr>
        <w:t>che il più ampio numero percentuale della prima modalità di calcolo è solo dovuto ad un diverso</w:t>
      </w:r>
      <w:r w:rsidR="00A2089C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più contenuto </w:t>
      </w:r>
      <w:r w:rsidR="00A2089C">
        <w:rPr>
          <w:rFonts w:ascii="Cambria" w:hAnsi="Cambria"/>
          <w:sz w:val="24"/>
          <w:szCs w:val="24"/>
        </w:rPr>
        <w:t xml:space="preserve">e </w:t>
      </w:r>
      <w:r w:rsidR="00A2089C">
        <w:rPr>
          <w:rFonts w:ascii="Cambria" w:hAnsi="Cambria"/>
          <w:sz w:val="24"/>
          <w:szCs w:val="24"/>
        </w:rPr>
        <w:t>non appropriato</w:t>
      </w:r>
      <w:r w:rsidR="00A2089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nu</w:t>
      </w:r>
      <w:r w:rsidR="00A2089C">
        <w:rPr>
          <w:rFonts w:ascii="Cambria" w:hAnsi="Cambria"/>
          <w:sz w:val="24"/>
          <w:szCs w:val="24"/>
        </w:rPr>
        <w:t>m</w:t>
      </w:r>
      <w:r>
        <w:rPr>
          <w:rFonts w:ascii="Cambria" w:hAnsi="Cambria"/>
          <w:sz w:val="24"/>
          <w:szCs w:val="24"/>
        </w:rPr>
        <w:t>ero indicato al denominatore.</w:t>
      </w:r>
    </w:p>
    <w:p w14:paraId="752EB9E4" w14:textId="77777777" w:rsidR="00A2089C" w:rsidRDefault="00A2089C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</w:p>
    <w:p w14:paraId="2229F5ED" w14:textId="37DEB0BB" w:rsidR="00A2089C" w:rsidRDefault="00A2089C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 w:rsidRPr="00A2089C">
        <w:rPr>
          <w:rFonts w:ascii="Cambria" w:hAnsi="Cambria"/>
          <w:b/>
          <w:bCs/>
          <w:sz w:val="24"/>
          <w:szCs w:val="24"/>
        </w:rPr>
        <w:t>Conclusioni</w:t>
      </w:r>
    </w:p>
    <w:p w14:paraId="007A13A4" w14:textId="77777777" w:rsidR="00864244" w:rsidRDefault="00A2089C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In definitiva non serve il 100% di divieto per dichiarare la non manifesta infondatezza dell’illegittimità di un distanziometro.  Non va trascurato </w:t>
      </w:r>
      <w:r w:rsidR="00063EB4">
        <w:rPr>
          <w:rFonts w:ascii="Cambria" w:hAnsi="Cambria"/>
          <w:sz w:val="24"/>
          <w:szCs w:val="24"/>
        </w:rPr>
        <w:t xml:space="preserve">il tema della marginalizzazione del gioco e della capacità di dette misure di andare contro lo scopo di prevenire il disturbo da gioco d’azzardo. </w:t>
      </w:r>
      <w:r w:rsidR="00864244">
        <w:rPr>
          <w:rFonts w:ascii="Cambria" w:hAnsi="Cambria"/>
          <w:sz w:val="24"/>
          <w:szCs w:val="24"/>
        </w:rPr>
        <w:t xml:space="preserve"> </w:t>
      </w:r>
      <w:r w:rsidR="00063EB4">
        <w:rPr>
          <w:rFonts w:ascii="Cambria" w:hAnsi="Cambria"/>
          <w:sz w:val="24"/>
          <w:szCs w:val="24"/>
        </w:rPr>
        <w:t xml:space="preserve">E poi occorre fornire dati leggibili e che diano veramente il senso del problema. </w:t>
      </w:r>
      <w:r w:rsidR="00864244">
        <w:rPr>
          <w:rFonts w:ascii="Cambria" w:hAnsi="Cambria"/>
          <w:sz w:val="24"/>
          <w:szCs w:val="24"/>
        </w:rPr>
        <w:t xml:space="preserve"> </w:t>
      </w:r>
      <w:proofErr w:type="gramStart"/>
      <w:r w:rsidR="00063EB4">
        <w:rPr>
          <w:rFonts w:ascii="Cambria" w:hAnsi="Cambria"/>
          <w:sz w:val="24"/>
          <w:szCs w:val="24"/>
        </w:rPr>
        <w:t>E’</w:t>
      </w:r>
      <w:proofErr w:type="gramEnd"/>
      <w:r w:rsidR="00063EB4">
        <w:rPr>
          <w:rFonts w:ascii="Cambria" w:hAnsi="Cambria"/>
          <w:sz w:val="24"/>
          <w:szCs w:val="24"/>
        </w:rPr>
        <w:t xml:space="preserve"> importante chiarire che l’effetto espulsivo non determina solo un problema di natura meramente privatistica di impossibilità di delocalizzazione</w:t>
      </w:r>
      <w:r w:rsidR="00864244">
        <w:rPr>
          <w:rFonts w:ascii="Cambria" w:hAnsi="Cambria"/>
          <w:sz w:val="24"/>
          <w:szCs w:val="24"/>
        </w:rPr>
        <w:t xml:space="preserve"> ma</w:t>
      </w:r>
      <w:r w:rsidR="00063EB4">
        <w:rPr>
          <w:rFonts w:ascii="Cambria" w:hAnsi="Cambria"/>
          <w:sz w:val="24"/>
          <w:szCs w:val="24"/>
        </w:rPr>
        <w:t xml:space="preserve"> rende il distanziometro anche contro lo scopo di tutela sanitaria, anche artefice del crollo del presidio di legalità. </w:t>
      </w:r>
    </w:p>
    <w:p w14:paraId="64752F11" w14:textId="068BC7AF" w:rsidR="00A2089C" w:rsidRPr="00A2089C" w:rsidRDefault="00864244" w:rsidP="00F75B40">
      <w:pPr>
        <w:tabs>
          <w:tab w:val="num" w:pos="720"/>
        </w:tabs>
        <w:spacing w:after="0" w:line="360" w:lineRule="auto"/>
        <w:contextualSpacing/>
        <w:jc w:val="both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sz w:val="24"/>
          <w:szCs w:val="24"/>
        </w:rPr>
        <w:t>Ed a</w:t>
      </w:r>
      <w:r w:rsidR="00063EB4">
        <w:rPr>
          <w:rFonts w:ascii="Cambria" w:hAnsi="Cambria"/>
          <w:sz w:val="24"/>
          <w:szCs w:val="24"/>
        </w:rPr>
        <w:t>nche per questo le percentuali di interdizione vanno ben rappresentate nella loro effettiva consistenza.</w:t>
      </w:r>
    </w:p>
    <w:sectPr w:rsidR="00A2089C" w:rsidRPr="00A208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DE264" w14:textId="77777777" w:rsidR="009B6029" w:rsidRDefault="009B6029" w:rsidP="00E0752C">
      <w:pPr>
        <w:spacing w:after="0" w:line="240" w:lineRule="auto"/>
      </w:pPr>
      <w:r>
        <w:separator/>
      </w:r>
    </w:p>
  </w:endnote>
  <w:endnote w:type="continuationSeparator" w:id="0">
    <w:p w14:paraId="497A0786" w14:textId="77777777" w:rsidR="009B6029" w:rsidRDefault="009B6029" w:rsidP="00E07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0FA5" w14:textId="77777777" w:rsidR="009B6029" w:rsidRDefault="009B6029" w:rsidP="00E0752C">
      <w:pPr>
        <w:spacing w:after="0" w:line="240" w:lineRule="auto"/>
      </w:pPr>
      <w:r>
        <w:separator/>
      </w:r>
    </w:p>
  </w:footnote>
  <w:footnote w:type="continuationSeparator" w:id="0">
    <w:p w14:paraId="68C10B01" w14:textId="77777777" w:rsidR="009B6029" w:rsidRDefault="009B6029" w:rsidP="00E07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42DFF"/>
    <w:multiLevelType w:val="hybridMultilevel"/>
    <w:tmpl w:val="D82CB482"/>
    <w:lvl w:ilvl="0" w:tplc="DE8C30C0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85788"/>
    <w:multiLevelType w:val="hybridMultilevel"/>
    <w:tmpl w:val="D6228ECE"/>
    <w:lvl w:ilvl="0" w:tplc="000046CE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465464">
    <w:abstractNumId w:val="0"/>
  </w:num>
  <w:num w:numId="2" w16cid:durableId="768352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20"/>
    <w:rsid w:val="000150D8"/>
    <w:rsid w:val="00035B20"/>
    <w:rsid w:val="0004037F"/>
    <w:rsid w:val="00053C5D"/>
    <w:rsid w:val="00063EB4"/>
    <w:rsid w:val="000C15B5"/>
    <w:rsid w:val="0014045F"/>
    <w:rsid w:val="0027376F"/>
    <w:rsid w:val="002D2051"/>
    <w:rsid w:val="00360410"/>
    <w:rsid w:val="0044530A"/>
    <w:rsid w:val="00483A46"/>
    <w:rsid w:val="00504725"/>
    <w:rsid w:val="005571B9"/>
    <w:rsid w:val="006F7072"/>
    <w:rsid w:val="00714BD7"/>
    <w:rsid w:val="007D5A87"/>
    <w:rsid w:val="00853D67"/>
    <w:rsid w:val="00864244"/>
    <w:rsid w:val="00877099"/>
    <w:rsid w:val="009B6029"/>
    <w:rsid w:val="00A2089C"/>
    <w:rsid w:val="00A74E43"/>
    <w:rsid w:val="00AA192C"/>
    <w:rsid w:val="00B8256F"/>
    <w:rsid w:val="00B873AB"/>
    <w:rsid w:val="00BA7EAC"/>
    <w:rsid w:val="00BE3884"/>
    <w:rsid w:val="00BF7B20"/>
    <w:rsid w:val="00E0752C"/>
    <w:rsid w:val="00E10C89"/>
    <w:rsid w:val="00E146EA"/>
    <w:rsid w:val="00E34B27"/>
    <w:rsid w:val="00E70682"/>
    <w:rsid w:val="00F4422A"/>
    <w:rsid w:val="00F75B40"/>
    <w:rsid w:val="00F8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F00"/>
  <w15:chartTrackingRefBased/>
  <w15:docId w15:val="{4583A303-5CF8-490C-BB51-469436AB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35B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5B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5B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5B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5B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5B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5B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5B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3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5B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5B20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5B20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5B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5B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5B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5B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35B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3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35B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35B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3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35B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35B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35B20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3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35B20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35B20"/>
    <w:rPr>
      <w:b/>
      <w:bCs/>
      <w:smallCaps/>
      <w:color w:val="2F5496" w:themeColor="accent1" w:themeShade="BF"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rsid w:val="00E075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752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styleId="Rimandonotaapidipagina">
    <w:name w:val="footnote reference"/>
    <w:basedOn w:val="Carpredefinitoparagrafo"/>
    <w:rsid w:val="00E075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2025-02-20T11:33:00Z</dcterms:created>
  <dcterms:modified xsi:type="dcterms:W3CDTF">2025-02-21T16:17:00Z</dcterms:modified>
</cp:coreProperties>
</file>